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D2A8D"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5A4DAC">
        <w:rPr>
          <w:rStyle w:val="Emphasis"/>
          <w:rFonts w:ascii="Times New Roman" w:hAnsi="Times New Roman" w:cs="Times New Roman"/>
          <w:b/>
          <w:i w:val="0"/>
          <w:sz w:val="24"/>
          <w:szCs w:val="24"/>
        </w:rPr>
        <w:t xml:space="preserve">art. VII alin. </w:t>
      </w:r>
      <w:r w:rsidR="00A378D2">
        <w:rPr>
          <w:rStyle w:val="Emphasis"/>
          <w:rFonts w:ascii="Times New Roman" w:hAnsi="Times New Roman" w:cs="Times New Roman"/>
          <w:b/>
          <w:i w:val="0"/>
          <w:sz w:val="24"/>
          <w:szCs w:val="24"/>
        </w:rPr>
        <w:t>3</w:t>
      </w:r>
      <w:r w:rsidR="005A4DAC">
        <w:rPr>
          <w:rStyle w:val="Emphasis"/>
          <w:rFonts w:ascii="Times New Roman" w:hAnsi="Times New Roman" w:cs="Times New Roman"/>
          <w:b/>
          <w:i w:val="0"/>
          <w:sz w:val="24"/>
          <w:szCs w:val="24"/>
        </w:rPr>
        <w:t xml:space="preserve"> din OUG nr. 115/2023 </w:t>
      </w:r>
      <w:r w:rsidR="005A4DAC">
        <w:rPr>
          <w:rStyle w:val="Emphasis"/>
          <w:rFonts w:ascii="Times New Roman" w:hAnsi="Times New Roman" w:cs="Times New Roman"/>
          <w:b/>
          <w:i w:val="0"/>
          <w:sz w:val="24"/>
          <w:szCs w:val="24"/>
          <w:lang w:val="ro-RO"/>
        </w:rPr>
        <w:t>și art. VII alin. 7, art. XI și XII din OUG nr. 121/2023 pentru modificarea și completarea Codului administrativ</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w:t>
      </w:r>
      <w:r w:rsidRPr="0065671D">
        <w:rPr>
          <w:rFonts w:ascii="Times New Roman" w:eastAsia="Times New Roman" w:hAnsi="Times New Roman" w:cs="Times New Roman"/>
          <w:b/>
          <w:bCs/>
          <w:sz w:val="24"/>
          <w:szCs w:val="24"/>
          <w:lang w:val="en-GB" w:eastAsia="en-GB"/>
        </w:rPr>
        <w:t xml:space="preserve">de </w:t>
      </w:r>
      <w:r w:rsidR="0065671D" w:rsidRPr="0065671D">
        <w:rPr>
          <w:rFonts w:ascii="Times New Roman" w:hAnsi="Times New Roman" w:cs="Times New Roman"/>
          <w:b/>
          <w:color w:val="000000"/>
          <w:sz w:val="24"/>
          <w:szCs w:val="24"/>
          <w:lang w:val="ro-RO"/>
        </w:rPr>
        <w:t xml:space="preserve">consilier, clasa I , grad profesional </w:t>
      </w:r>
      <w:r w:rsidR="001402B7">
        <w:rPr>
          <w:rFonts w:ascii="Times New Roman" w:hAnsi="Times New Roman" w:cs="Times New Roman"/>
          <w:b/>
          <w:color w:val="000000"/>
          <w:sz w:val="24"/>
          <w:szCs w:val="24"/>
          <w:lang w:val="ro-RO"/>
        </w:rPr>
        <w:t>superior</w:t>
      </w:r>
      <w:bookmarkStart w:id="0" w:name="_GoBack"/>
      <w:bookmarkEnd w:id="0"/>
      <w:r w:rsidR="0065671D" w:rsidRPr="0065671D">
        <w:rPr>
          <w:rFonts w:ascii="Times New Roman" w:hAnsi="Times New Roman" w:cs="Times New Roman"/>
          <w:b/>
          <w:color w:val="000000"/>
          <w:sz w:val="24"/>
          <w:szCs w:val="24"/>
          <w:lang w:val="ro-RO"/>
        </w:rPr>
        <w:t xml:space="preserve"> în cadrul </w:t>
      </w:r>
      <w:r w:rsidR="0065671D" w:rsidRPr="0065671D">
        <w:rPr>
          <w:rFonts w:ascii="Times New Roman" w:hAnsi="Times New Roman" w:cs="Times New Roman"/>
          <w:b/>
          <w:bCs/>
          <w:sz w:val="24"/>
          <w:szCs w:val="24"/>
          <w:lang w:val="en-GB" w:eastAsia="en-GB"/>
        </w:rPr>
        <w:t xml:space="preserve">Serviciul Financiar, Contabilitate, Compartiment </w:t>
      </w:r>
      <w:r w:rsidR="00A378D2">
        <w:rPr>
          <w:rFonts w:ascii="Times New Roman" w:hAnsi="Times New Roman" w:cs="Times New Roman"/>
          <w:b/>
          <w:bCs/>
          <w:sz w:val="24"/>
          <w:szCs w:val="24"/>
          <w:lang w:val="en-GB" w:eastAsia="en-GB"/>
        </w:rPr>
        <w:t>Contabilitate</w:t>
      </w:r>
      <w:r w:rsidR="00367D07" w:rsidRPr="0065671D">
        <w:rPr>
          <w:rFonts w:ascii="Times New Roman" w:eastAsia="Times New Roman" w:hAnsi="Times New Roman" w:cs="Times New Roman"/>
          <w:b/>
          <w:bCs/>
          <w:sz w:val="24"/>
          <w:szCs w:val="24"/>
          <w:lang w:val="en-GB" w:eastAsia="en-GB"/>
        </w:rPr>
        <w:t>,</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p>
    <w:p w:rsidR="00C52DA3" w:rsidRPr="001970DE" w:rsidRDefault="009131BC"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en-GB" w:eastAsia="en-GB"/>
        </w:rPr>
        <w:t>î</w:t>
      </w:r>
      <w:r w:rsidR="00C52DA3" w:rsidRPr="00A21739">
        <w:rPr>
          <w:rFonts w:ascii="Times New Roman" w:eastAsia="Times New Roman" w:hAnsi="Times New Roman" w:cs="Times New Roman"/>
          <w:b/>
          <w:bCs/>
          <w:sz w:val="24"/>
          <w:szCs w:val="24"/>
          <w:lang w:val="en-GB" w:eastAsia="en-GB"/>
        </w:rPr>
        <w:t>n data de</w:t>
      </w:r>
      <w:r w:rsidR="00C52DA3" w:rsidRPr="001970DE">
        <w:rPr>
          <w:rFonts w:ascii="Times New Roman" w:eastAsia="Times New Roman" w:hAnsi="Times New Roman" w:cs="Times New Roman"/>
          <w:b/>
          <w:bCs/>
          <w:sz w:val="24"/>
          <w:szCs w:val="24"/>
          <w:lang w:val="en-GB" w:eastAsia="en-GB"/>
        </w:rPr>
        <w:t xml:space="preserve"> </w:t>
      </w:r>
      <w:r w:rsidR="00A378D2">
        <w:rPr>
          <w:rFonts w:ascii="Times New Roman" w:eastAsia="Times New Roman" w:hAnsi="Times New Roman" w:cs="Times New Roman"/>
          <w:b/>
          <w:bCs/>
          <w:sz w:val="24"/>
          <w:szCs w:val="24"/>
          <w:lang w:val="en-GB" w:eastAsia="en-GB"/>
        </w:rPr>
        <w:t>10.02.2025</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007080" w:rsidRDefault="00007080" w:rsidP="004F59A7">
      <w:pPr>
        <w:pStyle w:val="ListParagraph"/>
        <w:numPr>
          <w:ilvl w:val="0"/>
          <w:numId w:val="31"/>
        </w:numPr>
        <w:suppressAutoHyphens/>
        <w:rPr>
          <w:color w:val="000000" w:themeColor="text1"/>
          <w:sz w:val="24"/>
          <w:szCs w:val="24"/>
        </w:rPr>
      </w:pPr>
      <w:r w:rsidRPr="00007080">
        <w:rPr>
          <w:rStyle w:val="slitbdy"/>
          <w:color w:val="000000" w:themeColor="text1"/>
          <w:sz w:val="24"/>
          <w:szCs w:val="24"/>
        </w:rPr>
        <w:t>dovedește prin certificat sau, după caz, prin alt tip de document absolvirea unei perfecționări sau specializări stabilite expres de lege pentru ocuparea unor funcții publice</w:t>
      </w:r>
      <w:r w:rsidR="00A21739" w:rsidRPr="00007080">
        <w:rPr>
          <w:color w:val="000000" w:themeColor="text1"/>
          <w:sz w:val="24"/>
          <w:szCs w:val="24"/>
        </w:rPr>
        <w:t>;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65671D" w:rsidRPr="0065671D" w:rsidRDefault="0065671D" w:rsidP="0065671D">
      <w:pPr>
        <w:pStyle w:val="ListParagraph"/>
        <w:numPr>
          <w:ilvl w:val="0"/>
          <w:numId w:val="37"/>
        </w:numPr>
        <w:autoSpaceDE w:val="0"/>
        <w:autoSpaceDN w:val="0"/>
        <w:adjustRightInd w:val="0"/>
        <w:rPr>
          <w:color w:val="000000" w:themeColor="text1"/>
          <w:sz w:val="24"/>
          <w:szCs w:val="24"/>
        </w:rPr>
      </w:pPr>
      <w:r w:rsidRPr="0065671D">
        <w:rPr>
          <w:color w:val="000000" w:themeColor="text1"/>
          <w:sz w:val="24"/>
          <w:szCs w:val="24"/>
        </w:rPr>
        <w:t xml:space="preserve">studii universitare de licență absolvite cu diploma de licență sau echivalentă: </w:t>
      </w:r>
      <w:r>
        <w:rPr>
          <w:color w:val="000000" w:themeColor="text1"/>
          <w:sz w:val="24"/>
          <w:szCs w:val="24"/>
        </w:rPr>
        <w:t>științe economice</w:t>
      </w:r>
    </w:p>
    <w:p w:rsidR="001970DE" w:rsidRPr="007233D5" w:rsidRDefault="001970DE" w:rsidP="0065671D">
      <w:pPr>
        <w:numPr>
          <w:ilvl w:val="0"/>
          <w:numId w:val="37"/>
        </w:numPr>
        <w:tabs>
          <w:tab w:val="num"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vec</w:t>
      </w:r>
      <w:r w:rsidR="00EE4BFC" w:rsidRPr="007233D5">
        <w:rPr>
          <w:rFonts w:ascii="Times New Roman" w:hAnsi="Times New Roman" w:cs="Times New Roman"/>
          <w:color w:val="000000" w:themeColor="text1"/>
          <w:sz w:val="24"/>
          <w:szCs w:val="24"/>
        </w:rPr>
        <w:t>hime în specialitatea studiilor</w:t>
      </w:r>
      <w:r w:rsidR="00A378D2">
        <w:rPr>
          <w:rFonts w:ascii="Times New Roman" w:hAnsi="Times New Roman" w:cs="Times New Roman"/>
          <w:color w:val="000000" w:themeColor="text1"/>
          <w:sz w:val="24"/>
          <w:szCs w:val="24"/>
        </w:rPr>
        <w:t>: 7 ani</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8B347C">
        <w:rPr>
          <w:rFonts w:ascii="Times New Roman" w:hAnsi="Times New Roman" w:cs="Times New Roman"/>
          <w:sz w:val="24"/>
          <w:szCs w:val="24"/>
        </w:rPr>
        <w:t xml:space="preserve">consilier, clasa </w:t>
      </w:r>
      <w:r w:rsidR="004A2A58">
        <w:rPr>
          <w:rFonts w:ascii="Times New Roman" w:hAnsi="Times New Roman" w:cs="Times New Roman"/>
          <w:sz w:val="24"/>
          <w:szCs w:val="24"/>
        </w:rPr>
        <w:t>I</w:t>
      </w:r>
      <w:r w:rsidR="009D72FD">
        <w:rPr>
          <w:rFonts w:ascii="Times New Roman" w:hAnsi="Times New Roman" w:cs="Times New Roman"/>
          <w:sz w:val="24"/>
          <w:szCs w:val="24"/>
        </w:rPr>
        <w:t xml:space="preserve">, grad </w:t>
      </w:r>
      <w:r w:rsidR="00A378D2">
        <w:rPr>
          <w:rFonts w:ascii="Times New Roman" w:hAnsi="Times New Roman" w:cs="Times New Roman"/>
          <w:sz w:val="24"/>
          <w:szCs w:val="24"/>
        </w:rPr>
        <w:t>superior</w:t>
      </w:r>
      <w:r w:rsidR="001B67A5" w:rsidRPr="00A21739">
        <w:rPr>
          <w:rFonts w:ascii="Times New Roman" w:hAnsi="Times New Roman" w:cs="Times New Roman"/>
          <w:sz w:val="24"/>
          <w:szCs w:val="24"/>
        </w:rPr>
        <w:t xml:space="preserve"> este de </w:t>
      </w:r>
      <w:r w:rsidR="00A378D2">
        <w:rPr>
          <w:rFonts w:ascii="Times New Roman" w:hAnsi="Times New Roman" w:cs="Times New Roman"/>
          <w:sz w:val="24"/>
          <w:szCs w:val="24"/>
        </w:rPr>
        <w:t>6500</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1970DE" w:rsidRPr="00A378D2" w:rsidRDefault="001970DE" w:rsidP="00062174">
      <w:pPr>
        <w:spacing w:after="0" w:line="240" w:lineRule="auto"/>
        <w:ind w:firstLine="567"/>
        <w:jc w:val="both"/>
        <w:rPr>
          <w:rFonts w:ascii="Times New Roman" w:eastAsia="Times New Roman" w:hAnsi="Times New Roman" w:cs="Times New Roman"/>
          <w:b/>
          <w:color w:val="000000"/>
          <w:sz w:val="24"/>
          <w:szCs w:val="24"/>
        </w:rPr>
      </w:pPr>
      <w:r w:rsidRPr="00A378D2">
        <w:rPr>
          <w:rFonts w:ascii="Times New Roman" w:eastAsia="Times New Roman" w:hAnsi="Times New Roman" w:cs="Times New Roman"/>
          <w:b/>
          <w:color w:val="000000"/>
          <w:sz w:val="24"/>
          <w:szCs w:val="24"/>
        </w:rPr>
        <w:t>Bibliografie și tematic</w:t>
      </w:r>
      <w:r w:rsidR="00A21739" w:rsidRPr="00A378D2">
        <w:rPr>
          <w:rFonts w:ascii="Times New Roman" w:eastAsia="Times New Roman" w:hAnsi="Times New Roman" w:cs="Times New Roman"/>
          <w:b/>
          <w:color w:val="000000"/>
          <w:sz w:val="24"/>
          <w:szCs w:val="24"/>
        </w:rPr>
        <w:t>ă</w:t>
      </w:r>
      <w:r w:rsidRPr="00A378D2">
        <w:rPr>
          <w:rFonts w:ascii="Times New Roman" w:eastAsia="Times New Roman" w:hAnsi="Times New Roman" w:cs="Times New Roman"/>
          <w:b/>
          <w:color w:val="000000"/>
          <w:sz w:val="24"/>
          <w:szCs w:val="24"/>
        </w:rPr>
        <w:t>:</w:t>
      </w:r>
    </w:p>
    <w:p w:rsidR="008B347C" w:rsidRPr="00A378D2" w:rsidRDefault="008B347C" w:rsidP="008B347C">
      <w:pPr>
        <w:numPr>
          <w:ilvl w:val="0"/>
          <w:numId w:val="34"/>
        </w:numPr>
        <w:contextualSpacing/>
        <w:jc w:val="both"/>
        <w:rPr>
          <w:rFonts w:ascii="Times New Roman" w:eastAsia="Calibri" w:hAnsi="Times New Roman" w:cs="Times New Roman"/>
          <w:color w:val="000000"/>
          <w:sz w:val="24"/>
          <w:szCs w:val="24"/>
          <w:lang w:val="ro-RO"/>
        </w:rPr>
      </w:pPr>
      <w:r w:rsidRPr="00A378D2">
        <w:rPr>
          <w:rFonts w:ascii="Times New Roman" w:eastAsia="Times New Roman" w:hAnsi="Times New Roman" w:cs="Times New Roman"/>
          <w:color w:val="000000"/>
          <w:sz w:val="24"/>
          <w:szCs w:val="24"/>
          <w:lang w:val="en-GB" w:eastAsia="en-GB"/>
        </w:rPr>
        <w:t>Constituția României, republicată - integral</w:t>
      </w:r>
    </w:p>
    <w:p w:rsidR="008B347C" w:rsidRPr="00A378D2" w:rsidRDefault="008B347C" w:rsidP="008B347C">
      <w:pPr>
        <w:numPr>
          <w:ilvl w:val="0"/>
          <w:numId w:val="34"/>
        </w:numPr>
        <w:contextualSpacing/>
        <w:jc w:val="both"/>
        <w:rPr>
          <w:rFonts w:ascii="Times New Roman" w:eastAsia="Calibri" w:hAnsi="Times New Roman" w:cs="Times New Roman"/>
          <w:color w:val="000000"/>
          <w:sz w:val="24"/>
          <w:szCs w:val="24"/>
          <w:lang w:val="ro-RO"/>
        </w:rPr>
      </w:pPr>
      <w:r w:rsidRPr="00A378D2">
        <w:rPr>
          <w:rFonts w:ascii="Times New Roman" w:eastAsia="Calibri" w:hAnsi="Times New Roman" w:cs="Times New Roman"/>
          <w:color w:val="000000"/>
          <w:sz w:val="24"/>
          <w:szCs w:val="24"/>
          <w:lang w:val="ro-RO"/>
        </w:rPr>
        <w:t xml:space="preserve">O.U.G. nr. 57/2019 privind Codul administrativ, cu modificările și completările ulterioare - </w:t>
      </w:r>
      <w:hyperlink r:id="rId6" w:history="1">
        <w:r w:rsidRPr="00A378D2">
          <w:rPr>
            <w:rFonts w:ascii="Times New Roman" w:eastAsia="Calibri" w:hAnsi="Times New Roman" w:cs="Times New Roman"/>
            <w:color w:val="000000"/>
            <w:sz w:val="24"/>
            <w:szCs w:val="24"/>
            <w:lang w:val="en-GB"/>
          </w:rPr>
          <w:t>Partea I</w:t>
        </w:r>
      </w:hyperlink>
      <w:r w:rsidRPr="00A378D2">
        <w:rPr>
          <w:rFonts w:ascii="Times New Roman" w:eastAsia="Calibri" w:hAnsi="Times New Roman" w:cs="Times New Roman"/>
          <w:color w:val="000000"/>
          <w:sz w:val="24"/>
          <w:szCs w:val="24"/>
          <w:lang w:val="en-GB"/>
        </w:rPr>
        <w:t xml:space="preserve">, </w:t>
      </w:r>
      <w:hyperlink r:id="rId7" w:history="1">
        <w:r w:rsidRPr="00A378D2">
          <w:rPr>
            <w:rFonts w:ascii="Times New Roman" w:eastAsia="Calibri" w:hAnsi="Times New Roman" w:cs="Times New Roman"/>
            <w:color w:val="000000"/>
            <w:sz w:val="24"/>
            <w:szCs w:val="24"/>
            <w:lang w:val="en-GB"/>
          </w:rPr>
          <w:t>partea a II-a, titlul I</w:t>
        </w:r>
      </w:hyperlink>
      <w:r w:rsidRPr="00A378D2">
        <w:rPr>
          <w:rFonts w:ascii="Times New Roman" w:eastAsia="Calibri" w:hAnsi="Times New Roman" w:cs="Times New Roman"/>
          <w:color w:val="000000"/>
          <w:sz w:val="24"/>
          <w:szCs w:val="24"/>
          <w:lang w:val="en-GB"/>
        </w:rPr>
        <w:t xml:space="preserve"> și </w:t>
      </w:r>
      <w:hyperlink r:id="rId8" w:history="1">
        <w:r w:rsidRPr="00A378D2">
          <w:rPr>
            <w:rFonts w:ascii="Times New Roman" w:eastAsia="Calibri" w:hAnsi="Times New Roman" w:cs="Times New Roman"/>
            <w:color w:val="000000"/>
            <w:sz w:val="24"/>
            <w:szCs w:val="24"/>
            <w:lang w:val="en-GB"/>
          </w:rPr>
          <w:t>titlul II</w:t>
        </w:r>
      </w:hyperlink>
      <w:r w:rsidRPr="00A378D2">
        <w:rPr>
          <w:rFonts w:ascii="Times New Roman" w:eastAsia="Calibri" w:hAnsi="Times New Roman" w:cs="Times New Roman"/>
          <w:color w:val="000000"/>
          <w:sz w:val="24"/>
          <w:szCs w:val="24"/>
          <w:lang w:val="en-GB"/>
        </w:rPr>
        <w:t xml:space="preserve">, </w:t>
      </w:r>
      <w:hyperlink r:id="rId9" w:history="1">
        <w:r w:rsidRPr="00A378D2">
          <w:rPr>
            <w:rFonts w:ascii="Times New Roman" w:eastAsia="Calibri" w:hAnsi="Times New Roman" w:cs="Times New Roman"/>
            <w:color w:val="000000"/>
            <w:sz w:val="24"/>
            <w:szCs w:val="24"/>
            <w:lang w:val="en-GB"/>
          </w:rPr>
          <w:t>partea a IV-a, titlul I</w:t>
        </w:r>
      </w:hyperlink>
      <w:r w:rsidRPr="00A378D2">
        <w:rPr>
          <w:rFonts w:ascii="Times New Roman" w:eastAsia="Calibri" w:hAnsi="Times New Roman" w:cs="Times New Roman"/>
          <w:color w:val="000000"/>
          <w:sz w:val="24"/>
          <w:szCs w:val="24"/>
          <w:lang w:val="en-GB"/>
        </w:rPr>
        <w:t xml:space="preserve"> și </w:t>
      </w:r>
      <w:hyperlink r:id="rId10" w:history="1">
        <w:r w:rsidRPr="00A378D2">
          <w:rPr>
            <w:rFonts w:ascii="Times New Roman" w:eastAsia="Calibri" w:hAnsi="Times New Roman" w:cs="Times New Roman"/>
            <w:color w:val="000000"/>
            <w:sz w:val="24"/>
            <w:szCs w:val="24"/>
            <w:lang w:val="en-GB"/>
          </w:rPr>
          <w:t>partea a VI-a, titlul I</w:t>
        </w:r>
      </w:hyperlink>
      <w:r w:rsidRPr="00A378D2">
        <w:rPr>
          <w:rFonts w:ascii="Times New Roman" w:eastAsia="Calibri" w:hAnsi="Times New Roman" w:cs="Times New Roman"/>
          <w:color w:val="000000"/>
          <w:sz w:val="24"/>
          <w:szCs w:val="24"/>
          <w:lang w:val="en-GB"/>
        </w:rPr>
        <w:t xml:space="preserve"> și </w:t>
      </w:r>
      <w:hyperlink r:id="rId11" w:history="1">
        <w:r w:rsidRPr="00A378D2">
          <w:rPr>
            <w:rFonts w:ascii="Times New Roman" w:eastAsia="Calibri" w:hAnsi="Times New Roman" w:cs="Times New Roman"/>
            <w:color w:val="000000"/>
            <w:sz w:val="24"/>
            <w:szCs w:val="24"/>
            <w:lang w:val="en-GB"/>
          </w:rPr>
          <w:t>titlul II</w:t>
        </w:r>
      </w:hyperlink>
    </w:p>
    <w:p w:rsidR="008B347C" w:rsidRPr="00A378D2" w:rsidRDefault="008B347C" w:rsidP="008B347C">
      <w:pPr>
        <w:numPr>
          <w:ilvl w:val="0"/>
          <w:numId w:val="34"/>
        </w:numPr>
        <w:contextualSpacing/>
        <w:jc w:val="both"/>
        <w:rPr>
          <w:rFonts w:ascii="Times New Roman" w:eastAsia="Calibri" w:hAnsi="Times New Roman" w:cs="Times New Roman"/>
          <w:color w:val="000000"/>
          <w:sz w:val="24"/>
          <w:szCs w:val="24"/>
          <w:lang w:val="ro-RO"/>
        </w:rPr>
      </w:pPr>
      <w:r w:rsidRPr="00A378D2">
        <w:rPr>
          <w:rFonts w:ascii="Times New Roman" w:eastAsia="Calibri" w:hAnsi="Times New Roman" w:cs="Times New Roman"/>
          <w:color w:val="000000"/>
          <w:sz w:val="24"/>
          <w:szCs w:val="24"/>
          <w:lang w:val="en-GB"/>
        </w:rPr>
        <w:t>Ordonanța Guvernului nr. 137/2000 privind prevenirea și sancționarea tuturor formelor de discriminare, republicată, cu modificările și completările ulterioare - integral</w:t>
      </w:r>
    </w:p>
    <w:p w:rsidR="00A378D2" w:rsidRPr="00A378D2" w:rsidRDefault="008B347C" w:rsidP="00A378D2">
      <w:pPr>
        <w:numPr>
          <w:ilvl w:val="0"/>
          <w:numId w:val="34"/>
        </w:numPr>
        <w:contextualSpacing/>
        <w:rPr>
          <w:rFonts w:ascii="Times New Roman" w:hAnsi="Times New Roman" w:cs="Times New Roman"/>
          <w:sz w:val="24"/>
          <w:szCs w:val="24"/>
        </w:rPr>
      </w:pPr>
      <w:r w:rsidRPr="00A378D2">
        <w:rPr>
          <w:rFonts w:ascii="Times New Roman" w:eastAsia="Calibri" w:hAnsi="Times New Roman" w:cs="Times New Roman"/>
          <w:color w:val="000000"/>
          <w:sz w:val="24"/>
          <w:szCs w:val="24"/>
          <w:lang w:val="en-GB"/>
        </w:rPr>
        <w:t xml:space="preserve">Legea nr. 202/2002 privind egalitatea de șanse și de tratament între femei și bărbați, republicată, cu modificările și completările ulterioare </w:t>
      </w:r>
      <w:r w:rsidR="00A378D2" w:rsidRPr="00A378D2">
        <w:rPr>
          <w:rFonts w:ascii="Times New Roman" w:eastAsia="Calibri" w:hAnsi="Times New Roman" w:cs="Times New Roman"/>
          <w:color w:val="000000"/>
          <w:sz w:val="24"/>
          <w:szCs w:val="24"/>
          <w:lang w:val="en-GB"/>
        </w:rPr>
        <w:t>–</w:t>
      </w:r>
      <w:r w:rsidRPr="00A378D2">
        <w:rPr>
          <w:rFonts w:ascii="Times New Roman" w:eastAsia="Calibri" w:hAnsi="Times New Roman" w:cs="Times New Roman"/>
          <w:color w:val="000000"/>
          <w:sz w:val="24"/>
          <w:szCs w:val="24"/>
          <w:lang w:val="en-GB"/>
        </w:rPr>
        <w:t xml:space="preserve"> integral</w:t>
      </w:r>
    </w:p>
    <w:p w:rsidR="00A378D2" w:rsidRPr="00E4451F" w:rsidRDefault="00A378D2" w:rsidP="00E4451F">
      <w:pPr>
        <w:numPr>
          <w:ilvl w:val="0"/>
          <w:numId w:val="34"/>
        </w:numPr>
        <w:spacing w:after="0"/>
        <w:contextualSpacing/>
        <w:rPr>
          <w:rFonts w:ascii="Times New Roman" w:hAnsi="Times New Roman" w:cs="Times New Roman"/>
          <w:sz w:val="24"/>
          <w:szCs w:val="24"/>
        </w:rPr>
      </w:pPr>
      <w:r w:rsidRPr="00E4451F">
        <w:rPr>
          <w:rFonts w:ascii="Times New Roman" w:hAnsi="Times New Roman" w:cs="Times New Roman"/>
          <w:sz w:val="24"/>
          <w:szCs w:val="24"/>
        </w:rPr>
        <w:t>Legea nr.82/1991-Legea contabilitatii, republicata, cu modificarile si completarile ulterioare;</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CAPITOLUL II</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Organizarea si conducerea contabilitatii</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(art.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10</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art.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19)</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CAPITOLUL III</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 Registrele de contabilitate</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(art.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20</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art.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26)</w:t>
      </w:r>
    </w:p>
    <w:p w:rsidR="00A378D2" w:rsidRPr="00E4451F" w:rsidRDefault="00A378D2" w:rsidP="00E4451F">
      <w:pPr>
        <w:pStyle w:val="NoSpacing"/>
        <w:jc w:val="both"/>
        <w:rPr>
          <w:rFonts w:ascii="Times New Roman" w:hAnsi="Times New Roman" w:cs="Times New Roman"/>
          <w:sz w:val="24"/>
          <w:szCs w:val="24"/>
        </w:rPr>
      </w:pPr>
      <w:r w:rsidRPr="00E4451F">
        <w:rPr>
          <w:rFonts w:ascii="Times New Roman" w:hAnsi="Times New Roman" w:cs="Times New Roman"/>
          <w:sz w:val="24"/>
          <w:szCs w:val="24"/>
        </w:rPr>
        <w:t xml:space="preserve">               </w:t>
      </w:r>
      <w:r w:rsidR="006B26BF">
        <w:rPr>
          <w:rFonts w:ascii="Times New Roman" w:hAnsi="Times New Roman" w:cs="Times New Roman"/>
          <w:sz w:val="24"/>
          <w:szCs w:val="24"/>
        </w:rPr>
        <w:t xml:space="preserve"> </w:t>
      </w:r>
      <w:r w:rsidRPr="00E4451F">
        <w:rPr>
          <w:rFonts w:ascii="Times New Roman" w:hAnsi="Times New Roman" w:cs="Times New Roman"/>
          <w:sz w:val="24"/>
          <w:szCs w:val="24"/>
        </w:rPr>
        <w: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CAPITOLUL IV- Situatiile financiare</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(art.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27</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art.</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37)</w:t>
      </w:r>
    </w:p>
    <w:p w:rsidR="00A378D2" w:rsidRPr="00E4451F" w:rsidRDefault="00A378D2" w:rsidP="00E4451F">
      <w:pPr>
        <w:pStyle w:val="NoSpacing"/>
        <w:numPr>
          <w:ilvl w:val="0"/>
          <w:numId w:val="34"/>
        </w:numPr>
        <w:jc w:val="both"/>
        <w:rPr>
          <w:rFonts w:ascii="Times New Roman" w:hAnsi="Times New Roman" w:cs="Times New Roman"/>
          <w:sz w:val="24"/>
          <w:szCs w:val="24"/>
        </w:rPr>
      </w:pPr>
      <w:r w:rsidRPr="00E4451F">
        <w:rPr>
          <w:rFonts w:ascii="Times New Roman" w:hAnsi="Times New Roman" w:cs="Times New Roman"/>
          <w:sz w:val="24"/>
          <w:szCs w:val="24"/>
        </w:rPr>
        <w:lastRenderedPageBreak/>
        <w:t>Ordinul Ministrului Finantelor nr.</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1917/2005</w:t>
      </w:r>
      <w:r w:rsidR="006B26BF">
        <w:rPr>
          <w:rFonts w:ascii="Times New Roman" w:hAnsi="Times New Roman" w:cs="Times New Roman"/>
          <w:sz w:val="24"/>
          <w:szCs w:val="24"/>
        </w:rPr>
        <w:t xml:space="preserve"> </w:t>
      </w:r>
      <w:r w:rsidR="006B26BF" w:rsidRPr="00E4451F">
        <w:rPr>
          <w:rFonts w:ascii="Times New Roman" w:hAnsi="Times New Roman" w:cs="Times New Roman"/>
          <w:sz w:val="24"/>
          <w:szCs w:val="24"/>
        </w:rPr>
        <w:t>pentru aprobarea Normelor metodologice privind organizarea si conducerea contabilitatii institutiilor publice, Planul de conturi pentru institutiile publice si instructiunile de aplicare a acestuia</w:t>
      </w:r>
      <w:r w:rsidR="006B26BF">
        <w:rPr>
          <w:rFonts w:ascii="Times New Roman" w:hAnsi="Times New Roman" w:cs="Times New Roman"/>
          <w:sz w:val="24"/>
          <w:szCs w:val="24"/>
        </w:rPr>
        <w:t>,</w:t>
      </w:r>
      <w:r w:rsidR="006B26BF" w:rsidRPr="00E4451F">
        <w:rPr>
          <w:rFonts w:ascii="Times New Roman" w:hAnsi="Times New Roman" w:cs="Times New Roman"/>
          <w:sz w:val="24"/>
          <w:szCs w:val="24"/>
        </w:rPr>
        <w:t xml:space="preserve"> cu modificarile si completarile ulterioare</w:t>
      </w:r>
      <w:r w:rsidRPr="00E4451F">
        <w:rPr>
          <w:rFonts w:ascii="Times New Roman" w:hAnsi="Times New Roman" w:cs="Times New Roman"/>
          <w:sz w:val="24"/>
          <w:szCs w:val="24"/>
        </w:rPr>
        <w:t>;</w:t>
      </w:r>
    </w:p>
    <w:p w:rsidR="00A378D2" w:rsidRPr="00E4451F" w:rsidRDefault="00A378D2" w:rsidP="006B26BF">
      <w:pPr>
        <w:pStyle w:val="NoSpacing"/>
        <w:numPr>
          <w:ilvl w:val="0"/>
          <w:numId w:val="40"/>
        </w:numPr>
        <w:jc w:val="both"/>
        <w:rPr>
          <w:rFonts w:ascii="Times New Roman" w:hAnsi="Times New Roman" w:cs="Times New Roman"/>
          <w:sz w:val="24"/>
          <w:szCs w:val="24"/>
        </w:rPr>
      </w:pPr>
      <w:r w:rsidRPr="00E4451F">
        <w:rPr>
          <w:rFonts w:ascii="Times New Roman" w:hAnsi="Times New Roman" w:cs="Times New Roman"/>
          <w:sz w:val="24"/>
          <w:szCs w:val="24"/>
        </w:rPr>
        <w:t>Capitolele I-VI</w:t>
      </w:r>
    </w:p>
    <w:p w:rsidR="00A378D2" w:rsidRPr="00E4451F" w:rsidRDefault="00A378D2" w:rsidP="00E4451F">
      <w:pPr>
        <w:pStyle w:val="NoSpacing"/>
        <w:numPr>
          <w:ilvl w:val="0"/>
          <w:numId w:val="34"/>
        </w:numPr>
        <w:jc w:val="both"/>
        <w:rPr>
          <w:rFonts w:ascii="Times New Roman" w:hAnsi="Times New Roman" w:cs="Times New Roman"/>
          <w:sz w:val="24"/>
          <w:szCs w:val="24"/>
        </w:rPr>
      </w:pPr>
      <w:r w:rsidRPr="00E4451F">
        <w:rPr>
          <w:rFonts w:ascii="Times New Roman" w:hAnsi="Times New Roman" w:cs="Times New Roman"/>
          <w:sz w:val="24"/>
          <w:szCs w:val="24"/>
        </w:rPr>
        <w:t>Ordinul ministrului finantelor publice nr.</w:t>
      </w:r>
      <w:r w:rsidR="00E4451F">
        <w:rPr>
          <w:rFonts w:ascii="Times New Roman" w:hAnsi="Times New Roman" w:cs="Times New Roman"/>
          <w:sz w:val="24"/>
          <w:szCs w:val="24"/>
        </w:rPr>
        <w:t xml:space="preserve"> </w:t>
      </w:r>
      <w:r w:rsidRPr="00E4451F">
        <w:rPr>
          <w:rFonts w:ascii="Times New Roman" w:hAnsi="Times New Roman" w:cs="Times New Roman"/>
          <w:sz w:val="24"/>
          <w:szCs w:val="24"/>
        </w:rPr>
        <w:t>2634/2015 privind documentele financiar contabile;</w:t>
      </w:r>
    </w:p>
    <w:p w:rsidR="00A378D2" w:rsidRPr="00E4451F" w:rsidRDefault="00A378D2" w:rsidP="00227DA8">
      <w:pPr>
        <w:pStyle w:val="NoSpacing"/>
        <w:numPr>
          <w:ilvl w:val="0"/>
          <w:numId w:val="40"/>
        </w:numPr>
        <w:jc w:val="both"/>
        <w:rPr>
          <w:rFonts w:ascii="Times New Roman" w:hAnsi="Times New Roman" w:cs="Times New Roman"/>
          <w:sz w:val="24"/>
          <w:szCs w:val="24"/>
        </w:rPr>
      </w:pPr>
      <w:r w:rsidRPr="00E4451F">
        <w:rPr>
          <w:rFonts w:ascii="Times New Roman" w:hAnsi="Times New Roman" w:cs="Times New Roman"/>
          <w:sz w:val="24"/>
          <w:szCs w:val="24"/>
        </w:rPr>
        <w:t>Anexa nr. 1 ,,Norme generale de întocmire și utilizare a documentelor financiar contabile”.</w:t>
      </w:r>
    </w:p>
    <w:p w:rsidR="00A378D2" w:rsidRPr="00E4451F" w:rsidRDefault="00A378D2" w:rsidP="00E4451F">
      <w:pPr>
        <w:pStyle w:val="NoSpacing"/>
        <w:numPr>
          <w:ilvl w:val="0"/>
          <w:numId w:val="34"/>
        </w:numPr>
        <w:jc w:val="both"/>
        <w:rPr>
          <w:rFonts w:ascii="Times New Roman" w:hAnsi="Times New Roman" w:cs="Times New Roman"/>
          <w:sz w:val="24"/>
          <w:szCs w:val="24"/>
        </w:rPr>
      </w:pPr>
      <w:r w:rsidRPr="00E4451F">
        <w:rPr>
          <w:rFonts w:ascii="Times New Roman" w:hAnsi="Times New Roman" w:cs="Times New Roman"/>
          <w:sz w:val="24"/>
          <w:szCs w:val="24"/>
        </w:rPr>
        <w:t>Ordinul</w:t>
      </w:r>
      <w:r w:rsidR="00E4451F">
        <w:rPr>
          <w:rFonts w:ascii="Times New Roman" w:hAnsi="Times New Roman" w:cs="Times New Roman"/>
          <w:sz w:val="24"/>
          <w:szCs w:val="24"/>
        </w:rPr>
        <w:t xml:space="preserve"> nr. </w:t>
      </w:r>
      <w:r w:rsidRPr="00E4451F">
        <w:rPr>
          <w:rFonts w:ascii="Times New Roman" w:hAnsi="Times New Roman" w:cs="Times New Roman"/>
          <w:sz w:val="24"/>
          <w:szCs w:val="24"/>
        </w:rPr>
        <w:t>1792/2002 pentru aprobarea Normelor metodologice privind angajare,lichidarea, ordonantarea si plata cheltuielilor institutiei publice,precum si evidenta si raportarea angajamentelor bugetare si legale, cu modificarile si completarile ulterioare;</w:t>
      </w:r>
    </w:p>
    <w:p w:rsidR="00A378D2" w:rsidRPr="00E4451F" w:rsidRDefault="00A378D2" w:rsidP="00E4451F">
      <w:pPr>
        <w:pStyle w:val="NoSpacing"/>
        <w:numPr>
          <w:ilvl w:val="0"/>
          <w:numId w:val="39"/>
        </w:numPr>
        <w:jc w:val="both"/>
        <w:rPr>
          <w:rFonts w:ascii="Times New Roman" w:hAnsi="Times New Roman" w:cs="Times New Roman"/>
          <w:sz w:val="24"/>
          <w:szCs w:val="24"/>
        </w:rPr>
      </w:pPr>
      <w:r w:rsidRPr="00E4451F">
        <w:rPr>
          <w:rFonts w:ascii="Times New Roman" w:hAnsi="Times New Roman" w:cs="Times New Roman"/>
          <w:sz w:val="24"/>
          <w:szCs w:val="24"/>
        </w:rPr>
        <w:t>Angajarea, lichidarea, ordonanțarea și plata cheltuielilor.</w:t>
      </w:r>
    </w:p>
    <w:p w:rsidR="00A378D2" w:rsidRPr="00E4451F" w:rsidRDefault="00A378D2" w:rsidP="00E4451F">
      <w:pPr>
        <w:pStyle w:val="NoSpacing"/>
        <w:numPr>
          <w:ilvl w:val="0"/>
          <w:numId w:val="34"/>
        </w:numPr>
        <w:jc w:val="both"/>
        <w:rPr>
          <w:rFonts w:ascii="Times New Roman" w:hAnsi="Times New Roman" w:cs="Times New Roman"/>
          <w:sz w:val="24"/>
          <w:szCs w:val="24"/>
        </w:rPr>
      </w:pPr>
      <w:r w:rsidRPr="00E4451F">
        <w:rPr>
          <w:rFonts w:ascii="Times New Roman" w:hAnsi="Times New Roman" w:cs="Times New Roman"/>
          <w:sz w:val="24"/>
          <w:szCs w:val="24"/>
        </w:rPr>
        <w:t>Legea nr. 273/2006 privind finanţele publice locale, cu modificările şi completările ulterioare:</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  CAPITOLUL I  ,,Dispoziții generale”;</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  CAPITOLUL II ,,Principii, reguli și responsabilități”;</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  CAPITOLUL III ,,Procesul bugetar”;</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  CAPITOLUL V ,,Finanțarea instituțiilor publice”.</w:t>
      </w:r>
    </w:p>
    <w:p w:rsidR="00A378D2" w:rsidRPr="00E4451F" w:rsidRDefault="00A378D2" w:rsidP="00E4451F">
      <w:pPr>
        <w:pStyle w:val="NoSpacing"/>
        <w:numPr>
          <w:ilvl w:val="0"/>
          <w:numId w:val="34"/>
        </w:numPr>
        <w:jc w:val="both"/>
        <w:rPr>
          <w:rFonts w:ascii="Times New Roman" w:hAnsi="Times New Roman" w:cs="Times New Roman"/>
          <w:sz w:val="24"/>
          <w:szCs w:val="24"/>
        </w:rPr>
      </w:pPr>
      <w:r w:rsidRPr="00E4451F">
        <w:rPr>
          <w:rFonts w:ascii="Times New Roman" w:hAnsi="Times New Roman" w:cs="Times New Roman"/>
          <w:sz w:val="24"/>
          <w:szCs w:val="24"/>
        </w:rPr>
        <w:t>Ordinul Ministrului Finantelor Publice nr.</w:t>
      </w:r>
      <w:r w:rsidR="00227DA8">
        <w:rPr>
          <w:rFonts w:ascii="Times New Roman" w:hAnsi="Times New Roman" w:cs="Times New Roman"/>
          <w:sz w:val="24"/>
          <w:szCs w:val="24"/>
        </w:rPr>
        <w:t xml:space="preserve"> </w:t>
      </w:r>
      <w:r w:rsidRPr="00E4451F">
        <w:rPr>
          <w:rFonts w:ascii="Times New Roman" w:hAnsi="Times New Roman" w:cs="Times New Roman"/>
          <w:sz w:val="24"/>
          <w:szCs w:val="24"/>
        </w:rPr>
        <w:t>3471/2008 pentru aprobarea Normelor metodologice privin reevaluarea si amortizarea activelor fixe corporale aflate in patrimonial institutiilor piblice, cu modificarile si completarile ulterioare;</w:t>
      </w:r>
    </w:p>
    <w:p w:rsidR="00A378D2" w:rsidRPr="00E4451F" w:rsidRDefault="00A378D2" w:rsidP="00227DA8">
      <w:pPr>
        <w:pStyle w:val="NoSpacing"/>
        <w:numPr>
          <w:ilvl w:val="0"/>
          <w:numId w:val="39"/>
        </w:numPr>
        <w:jc w:val="both"/>
        <w:rPr>
          <w:rFonts w:ascii="Times New Roman" w:hAnsi="Times New Roman" w:cs="Times New Roman"/>
          <w:sz w:val="24"/>
          <w:szCs w:val="24"/>
        </w:rPr>
      </w:pPr>
      <w:r w:rsidRPr="00E4451F">
        <w:rPr>
          <w:rFonts w:ascii="Times New Roman" w:hAnsi="Times New Roman" w:cs="Times New Roman"/>
          <w:sz w:val="24"/>
          <w:szCs w:val="24"/>
        </w:rPr>
        <w:t>Capitolul I- Reguli generale privind reevaluarea activelor fixe corporale aflate in patrimonial institutiilor publice.</w:t>
      </w:r>
    </w:p>
    <w:p w:rsidR="00A378D2" w:rsidRPr="00E4451F" w:rsidRDefault="00A378D2" w:rsidP="00E4451F">
      <w:pPr>
        <w:pStyle w:val="NoSpacing"/>
        <w:numPr>
          <w:ilvl w:val="0"/>
          <w:numId w:val="34"/>
        </w:numPr>
        <w:jc w:val="both"/>
        <w:rPr>
          <w:rFonts w:ascii="Times New Roman" w:hAnsi="Times New Roman" w:cs="Times New Roman"/>
          <w:sz w:val="24"/>
          <w:szCs w:val="24"/>
        </w:rPr>
      </w:pPr>
      <w:r w:rsidRPr="00E4451F">
        <w:rPr>
          <w:rFonts w:ascii="Times New Roman" w:hAnsi="Times New Roman" w:cs="Times New Roman"/>
          <w:sz w:val="24"/>
          <w:szCs w:val="24"/>
        </w:rPr>
        <w:t>Ordinul Ministerul Finantelor Publice nr. 517/2016 pentru aprobarea de proceduri aferente unor module care fac parte din procedura de functionare a sistemului national de raportare –Forexebug;</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w:t>
      </w:r>
      <w:r w:rsidR="00DA6AE0">
        <w:rPr>
          <w:rFonts w:ascii="Times New Roman" w:hAnsi="Times New Roman" w:cs="Times New Roman"/>
          <w:sz w:val="24"/>
          <w:szCs w:val="24"/>
        </w:rPr>
        <w:t xml:space="preserve"> </w:t>
      </w:r>
      <w:r w:rsidR="00DA6AE0" w:rsidRPr="00E4451F">
        <w:rPr>
          <w:rFonts w:ascii="Times New Roman" w:hAnsi="Times New Roman" w:cs="Times New Roman"/>
          <w:sz w:val="24"/>
          <w:szCs w:val="24"/>
        </w:rPr>
        <w:t>Anexa nr.1</w:t>
      </w:r>
      <w:r w:rsidR="00DA6AE0">
        <w:rPr>
          <w:rFonts w:ascii="Times New Roman" w:hAnsi="Times New Roman" w:cs="Times New Roman"/>
          <w:sz w:val="24"/>
          <w:szCs w:val="24"/>
        </w:rPr>
        <w:t xml:space="preserve"> - </w:t>
      </w:r>
      <w:r w:rsidRPr="00E4451F">
        <w:rPr>
          <w:rFonts w:ascii="Times New Roman" w:hAnsi="Times New Roman" w:cs="Times New Roman"/>
          <w:sz w:val="24"/>
          <w:szCs w:val="24"/>
        </w:rPr>
        <w:t>Procedura pentru modulul “Semnarea electronica a rapoartelor entitatilor publice la functionalitatile sistemului de raportare-Forexebug”;</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w:t>
      </w:r>
      <w:r w:rsidR="00DA6AE0">
        <w:rPr>
          <w:rFonts w:ascii="Times New Roman" w:hAnsi="Times New Roman" w:cs="Times New Roman"/>
          <w:sz w:val="24"/>
          <w:szCs w:val="24"/>
        </w:rPr>
        <w:t xml:space="preserve"> </w:t>
      </w:r>
      <w:r w:rsidR="00DA6AE0" w:rsidRPr="00E4451F">
        <w:rPr>
          <w:rFonts w:ascii="Times New Roman" w:hAnsi="Times New Roman" w:cs="Times New Roman"/>
          <w:sz w:val="24"/>
          <w:szCs w:val="24"/>
        </w:rPr>
        <w:t>Anexa nr.2</w:t>
      </w:r>
      <w:r w:rsidR="00DA6AE0">
        <w:rPr>
          <w:rFonts w:ascii="Times New Roman" w:hAnsi="Times New Roman" w:cs="Times New Roman"/>
          <w:sz w:val="24"/>
          <w:szCs w:val="24"/>
        </w:rPr>
        <w:t xml:space="preserve"> - </w:t>
      </w:r>
      <w:r w:rsidRPr="00E4451F">
        <w:rPr>
          <w:rFonts w:ascii="Times New Roman" w:hAnsi="Times New Roman" w:cs="Times New Roman"/>
          <w:sz w:val="24"/>
          <w:szCs w:val="24"/>
        </w:rPr>
        <w:t>Procedura pentru modulul “completarea si depunerea bugetului individual a institutiilor publice”;</w:t>
      </w:r>
    </w:p>
    <w:p w:rsidR="00A378D2" w:rsidRPr="00E4451F" w:rsidRDefault="00A378D2" w:rsidP="00E4451F">
      <w:pPr>
        <w:pStyle w:val="NoSpacing"/>
        <w:ind w:left="360"/>
        <w:jc w:val="both"/>
        <w:rPr>
          <w:rFonts w:ascii="Times New Roman" w:hAnsi="Times New Roman" w:cs="Times New Roman"/>
          <w:sz w:val="24"/>
          <w:szCs w:val="24"/>
        </w:rPr>
      </w:pPr>
      <w:r w:rsidRPr="00E4451F">
        <w:rPr>
          <w:rFonts w:ascii="Times New Roman" w:hAnsi="Times New Roman" w:cs="Times New Roman"/>
          <w:sz w:val="24"/>
          <w:szCs w:val="24"/>
        </w:rPr>
        <w:t xml:space="preserve">             -</w:t>
      </w:r>
      <w:r w:rsidR="00DA6AE0">
        <w:rPr>
          <w:rFonts w:ascii="Times New Roman" w:hAnsi="Times New Roman" w:cs="Times New Roman"/>
          <w:sz w:val="24"/>
          <w:szCs w:val="24"/>
        </w:rPr>
        <w:t xml:space="preserve"> </w:t>
      </w:r>
      <w:r w:rsidR="00DA6AE0" w:rsidRPr="00E4451F">
        <w:rPr>
          <w:rFonts w:ascii="Times New Roman" w:hAnsi="Times New Roman" w:cs="Times New Roman"/>
          <w:sz w:val="24"/>
          <w:szCs w:val="24"/>
        </w:rPr>
        <w:t>Anexa nr.3</w:t>
      </w:r>
      <w:r w:rsidR="00DA6AE0">
        <w:rPr>
          <w:rFonts w:ascii="Times New Roman" w:hAnsi="Times New Roman" w:cs="Times New Roman"/>
          <w:sz w:val="24"/>
          <w:szCs w:val="24"/>
        </w:rPr>
        <w:t xml:space="preserve"> - </w:t>
      </w:r>
      <w:r w:rsidRPr="00E4451F">
        <w:rPr>
          <w:rFonts w:ascii="Times New Roman" w:hAnsi="Times New Roman" w:cs="Times New Roman"/>
          <w:sz w:val="24"/>
          <w:szCs w:val="24"/>
        </w:rPr>
        <w:t>Procedura pentru modulul “inregistrarea angajamentelor legale si angajamentelor buetare in sistemul de control al angajamentelor”;</w:t>
      </w:r>
    </w:p>
    <w:p w:rsidR="00A378D2" w:rsidRDefault="00A378D2" w:rsidP="00E150D3">
      <w:pPr>
        <w:spacing w:after="0"/>
        <w:jc w:val="both"/>
        <w:rPr>
          <w:rFonts w:ascii="Times New Roman" w:hAnsi="Times New Roman" w:cs="Times New Roman"/>
          <w:b/>
          <w:sz w:val="24"/>
          <w:szCs w:val="24"/>
        </w:rPr>
      </w:pPr>
    </w:p>
    <w:p w:rsidR="00E150D3" w:rsidRPr="00E150D3" w:rsidRDefault="00E150D3" w:rsidP="00E150D3">
      <w:pPr>
        <w:spacing w:after="0" w:line="240" w:lineRule="auto"/>
        <w:jc w:val="both"/>
        <w:rPr>
          <w:rFonts w:ascii="Times New Roman" w:eastAsia="Times New Roman" w:hAnsi="Times New Roman" w:cs="Times New Roman"/>
          <w:b/>
          <w:bCs/>
          <w:sz w:val="24"/>
          <w:szCs w:val="24"/>
          <w:lang w:val="fr-FR"/>
        </w:rPr>
      </w:pPr>
      <w:r w:rsidRPr="00E150D3">
        <w:rPr>
          <w:rFonts w:ascii="Times New Roman" w:eastAsia="Times New Roman" w:hAnsi="Times New Roman" w:cs="Times New Roman"/>
          <w:b/>
          <w:bCs/>
          <w:sz w:val="24"/>
          <w:szCs w:val="24"/>
          <w:lang w:val="fr-FR"/>
        </w:rPr>
        <w:t xml:space="preserve">Atribuţiile postului :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bCs/>
          <w:sz w:val="24"/>
          <w:szCs w:val="24"/>
          <w:lang w:val="fr-FR"/>
        </w:rPr>
        <w:t xml:space="preserve">Intocmeste cererile de decontare, catre Inspectoratul pentru Situatii de Urgenta Teleorman, privind acordarea sumelor forfetare,  prevazute de lege cetatenilor straini sau apatrizi aflati insituatii deosebite, proveniti din zona de conflict armat din Ucraina ;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centralizeaza NIR, bonuri de consum pentru Cabinete Medicale Scolare, Centrul Rezidential pentru persoane fara Adapost, Centrul de Zi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 xml:space="preserve">ajuta la transmiterea situatiilor financiare in aplicatia CAB a sistemului  de raportare FOREXEBUG ;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solicita si intocmeste formularul pentru alimentare conturi</w:t>
      </w:r>
      <w:r w:rsidRPr="00E150D3">
        <w:rPr>
          <w:rFonts w:eastAsia="Times New Roman"/>
          <w:sz w:val="24"/>
          <w:szCs w:val="24"/>
        </w:rPr>
        <w:t>;</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transmite adrese de confirmare a soldurilor catre Trezoreria Alexandria</w:t>
      </w:r>
      <w:r w:rsidRPr="00E150D3">
        <w:rPr>
          <w:rFonts w:eastAsia="Times New Roman"/>
          <w:sz w:val="24"/>
          <w:szCs w:val="24"/>
        </w:rPr>
        <w:t>;</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verifica rulajele si soldurile din balanta de verificare;</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lucreaza la centralizarea bilantului;</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arhiveaza documente;</w:t>
      </w:r>
    </w:p>
    <w:p w:rsidR="00E150D3" w:rsidRPr="00E150D3" w:rsidRDefault="00E150D3" w:rsidP="00E150D3">
      <w:pPr>
        <w:pStyle w:val="ListParagraph"/>
        <w:widowControl/>
        <w:numPr>
          <w:ilvl w:val="0"/>
          <w:numId w:val="41"/>
        </w:numPr>
        <w:rPr>
          <w:rFonts w:eastAsia="Times New Roman"/>
          <w:sz w:val="24"/>
          <w:szCs w:val="24"/>
          <w:lang w:val="ro-RO"/>
        </w:rPr>
      </w:pPr>
      <w:r w:rsidRPr="00E150D3">
        <w:rPr>
          <w:rFonts w:eastAsia="Times New Roman"/>
          <w:sz w:val="24"/>
          <w:szCs w:val="24"/>
          <w:lang w:val="fr-FR"/>
        </w:rPr>
        <w:t>raspunde de corectitudinea soldurilor conturilor de materiale, obiecte de inventar la Cabinete Medicale Scolare, Centrul de Zi si Centrul Rezidential pentru Persoane fara Adapost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intocmeste proces- verbal de casare pe baza documentelor primite de la gestionarul centrelor, Cabinete Medicale Scolare  si Centrul Rezidential pentru Persoane fara Adapost si le transmite spre aprobare organului ierarhic superior, urmand ca dupa aprobarea acestora sa procedeze la inregistrarea acestora in contabilitatea unitatii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rPr>
        <w:t>colaboreaza la tinerea corecta si la zi a evidentei financiare si contabile si face confruntul lunar cu gestionarul de la Centrul Rezidential personae fara adapost, Cabinetele Medicale Scolare si Centrul de zi la toate conturile de marfuri, materiale, obiecte de inventar;</w:t>
      </w:r>
    </w:p>
    <w:p w:rsidR="00E150D3" w:rsidRPr="00E150D3" w:rsidRDefault="00E150D3" w:rsidP="00E150D3">
      <w:pPr>
        <w:pStyle w:val="ListParagraph"/>
        <w:widowControl/>
        <w:numPr>
          <w:ilvl w:val="0"/>
          <w:numId w:val="41"/>
        </w:numPr>
        <w:rPr>
          <w:rFonts w:eastAsia="Times New Roman"/>
          <w:sz w:val="24"/>
          <w:szCs w:val="24"/>
          <w:lang w:val="ro-RO"/>
        </w:rPr>
      </w:pPr>
      <w:r w:rsidRPr="00E150D3">
        <w:rPr>
          <w:rFonts w:eastAsia="Times New Roman"/>
          <w:sz w:val="24"/>
          <w:szCs w:val="24"/>
          <w:lang w:val="fr-FR"/>
        </w:rPr>
        <w:t>inlocuieste casierul institutiei in cazul indisponibilitatii acestuia ;</w:t>
      </w:r>
    </w:p>
    <w:p w:rsidR="00E150D3" w:rsidRPr="00E150D3" w:rsidRDefault="00E150D3" w:rsidP="00E150D3">
      <w:pPr>
        <w:pStyle w:val="ListParagraph"/>
        <w:widowControl/>
        <w:numPr>
          <w:ilvl w:val="0"/>
          <w:numId w:val="41"/>
        </w:numPr>
        <w:rPr>
          <w:rFonts w:eastAsia="Times New Roman"/>
          <w:sz w:val="24"/>
          <w:szCs w:val="24"/>
          <w:lang w:val="ro-RO"/>
        </w:rPr>
      </w:pPr>
      <w:r w:rsidRPr="00E150D3">
        <w:rPr>
          <w:rFonts w:eastAsia="Times New Roman"/>
          <w:sz w:val="24"/>
          <w:szCs w:val="24"/>
        </w:rPr>
        <w:lastRenderedPageBreak/>
        <w:t>presteaza servicii sociale pentru a răspunde nevoilor sociale, precum şi celor speciale, individuale, familiale sau de grup, în vederea depăşirii situaţiilor de dificultate, prevenirii şi combaterii riscului de excluziune socială, promovării incluziunii sociale şi creşterii calităţii vieţii. (conform art. 27 , alin. (1) din Legea nr. 292/2011 - Legea asistenţei sociale), din care enumeram distribuirea tichetelor sociale ,  alimentelor  prin programul POAD,  si ajutoare de urgenta;</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are ca atributii aceea de a cunoaste si a respecta cu strictete prevederile Legii securitatii si sanatatii in munca nr. 319/2006, Normelor metodologice de aplicare a prevederilor Legii sanatatii si securitatii in munca (H.G. nr. 1425/2006), precum si a Instructiunilor proprii pentru sanatate si securitate in munca aferente postului ocupat. De asemenea, este obligat sa cunoasca si sa aplice prevederile Ordinului 712/2005 pentru aprobarea  Dispozitiilor generale privind instruirea salariatilor in domeniul prevenirii si stingerii incendiilor si instruirea in domeniul protectiei civile, precum si ale celorlalte acte normative in domeniul PSI si situatiilor de urgenta.</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 xml:space="preserve">Intocmeste , lunar, pe baza cererilor primite, Anexa nr 3 si Anexa nr. 5, din H.G 368/2023 si transmite situatiile centralizate catre ISU Teleorman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asigura integritatea documentelor pe care le prelucreaza si le arhiveaza conform legislatiei in vigoare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 xml:space="preserve">colaboreaza cu organele de control ale Curtii de Conturi si ale altor institutii abilitate , punand la dispozitie  documentele supuse controlului ;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indeplineste si alte sarcini de serviciu repartizate de seful direct sau de directorul institutiei, in limita competentelor profesionale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isi desfasoara activitatea in conformitate cu pregatirea si instruirea sa, precum si cu instructiunile primite din partea angajatorului si a superiorilor directi, astfel incat sa nu expuna la pericol de accidentare sau imbolnavire profesionala atat propria persoana, cat si alte persoane care pot fi afectate de actiunile sau omisiunile sale in timpul procesului de munca ;</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In mod deosebit, in scopul realizarii obiectivelor prevazute la alineatul precedent, are si urmatoarele obligatii:</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sa comunice imediat angajatorului si/sau lucratorilor desemnati orice situatie de munca despre care au motive intemeiate sa o considere un pericol pentru securitatea si sanatatea lucratorilor, precum si orice deficienta a sistemelor de protectie;</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sa aduca la cunostinta conducatorului locului de munca si/sau angajatorului accidentele suferite de propria persoana;</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sa coopereze cu angajatorul si/sau cu lucratorii desemnati, atat timp cat este necesar, pentru a face posibila realizarea oricaror masuri sau cerinte dispuse de catre inspectorii de munca si inspectorii sanitari, pentru protectia sanatatii si securitatii lucratorilor;</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sa coopereze, atat timp cat este necesar, cu angajatorul si/sau cu lucratorii desemnati, pentru a permite angajatorului sa se asigure ca mediul de munca si conditiile de lucru sunt sigure si fara riscuri pentru securitate si sanatate, in domeniul sau de activitate;</w:t>
      </w:r>
    </w:p>
    <w:p w:rsidR="00E150D3" w:rsidRPr="00E150D3" w:rsidRDefault="00E150D3" w:rsidP="00E150D3">
      <w:pPr>
        <w:pStyle w:val="ListParagraph"/>
        <w:widowControl/>
        <w:numPr>
          <w:ilvl w:val="0"/>
          <w:numId w:val="41"/>
        </w:numPr>
        <w:rPr>
          <w:rFonts w:eastAsia="Times New Roman"/>
          <w:sz w:val="24"/>
          <w:szCs w:val="24"/>
          <w:lang w:val="fr-FR"/>
        </w:rPr>
      </w:pPr>
      <w:r w:rsidRPr="00E150D3">
        <w:rPr>
          <w:rFonts w:eastAsia="Times New Roman"/>
          <w:sz w:val="24"/>
          <w:szCs w:val="24"/>
          <w:lang w:val="fr-FR"/>
        </w:rPr>
        <w:t>sa isi insuseasca si sa respecte prevederile legislatiei din domeniul securitatii si sanatatii in munca si masurile de aplicare a acestora; sa isi insuseasca si sa respecte prevederile legislatia privind PSI / situatiile de urgenta ;</w:t>
      </w:r>
    </w:p>
    <w:p w:rsidR="00E150D3" w:rsidRPr="000458CA" w:rsidRDefault="00E150D3" w:rsidP="00E150D3">
      <w:pPr>
        <w:pStyle w:val="ListParagraph"/>
        <w:widowControl/>
        <w:numPr>
          <w:ilvl w:val="0"/>
          <w:numId w:val="41"/>
        </w:numPr>
        <w:rPr>
          <w:rFonts w:ascii="Garamond" w:eastAsia="Times New Roman" w:hAnsi="Garamond"/>
          <w:lang w:val="fr-FR"/>
        </w:rPr>
      </w:pPr>
      <w:r w:rsidRPr="00E150D3">
        <w:rPr>
          <w:rFonts w:eastAsia="Times New Roman"/>
          <w:sz w:val="24"/>
          <w:szCs w:val="24"/>
          <w:lang w:val="fr-FR"/>
        </w:rPr>
        <w:t>sa dea relatiile solicitate de catre inspectorii de munca si inspectorii sanitari;</w:t>
      </w: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2655FE" w:rsidRDefault="00E150D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10.02.2025</w:t>
      </w:r>
      <w:r w:rsidR="0013182E" w:rsidRPr="002655FE">
        <w:rPr>
          <w:rFonts w:ascii="Times New Roman" w:eastAsia="Times New Roman" w:hAnsi="Times New Roman" w:cs="Times New Roman"/>
          <w:b/>
          <w:sz w:val="24"/>
          <w:szCs w:val="24"/>
          <w:u w:val="single"/>
          <w:lang w:eastAsia="en-GB"/>
        </w:rPr>
        <w:t>, ora 1</w:t>
      </w:r>
      <w:r w:rsidR="00062174">
        <w:rPr>
          <w:rFonts w:ascii="Times New Roman" w:eastAsia="Times New Roman" w:hAnsi="Times New Roman" w:cs="Times New Roman"/>
          <w:b/>
          <w:sz w:val="24"/>
          <w:szCs w:val="24"/>
          <w:u w:val="single"/>
          <w:lang w:eastAsia="en-GB"/>
        </w:rPr>
        <w:t>2</w:t>
      </w:r>
      <w:r w:rsidR="00C52DA3" w:rsidRPr="002655FE">
        <w:rPr>
          <w:rFonts w:ascii="Times New Roman" w:eastAsia="Times New Roman" w:hAnsi="Times New Roman" w:cs="Times New Roman"/>
          <w:b/>
          <w:sz w:val="24"/>
          <w:szCs w:val="24"/>
          <w:u w:val="single"/>
          <w:lang w:eastAsia="en-GB"/>
        </w:rPr>
        <w:t>.00</w:t>
      </w:r>
      <w:r w:rsidR="00007080" w:rsidRPr="002655FE">
        <w:rPr>
          <w:rFonts w:ascii="Times New Roman" w:eastAsia="Times New Roman" w:hAnsi="Times New Roman" w:cs="Times New Roman"/>
          <w:b/>
          <w:sz w:val="24"/>
          <w:szCs w:val="24"/>
          <w:u w:val="single"/>
          <w:lang w:eastAsia="en-GB"/>
        </w:rPr>
        <w:t>, la sediul D.A.S. Alexandria, str. Dunării, nr. 139 -</w:t>
      </w:r>
      <w:r w:rsidR="00C52DA3" w:rsidRPr="002655F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w:t>
      </w:r>
      <w:r w:rsidR="00062174">
        <w:rPr>
          <w:rFonts w:ascii="Times New Roman" w:eastAsia="Times New Roman" w:hAnsi="Times New Roman" w:cs="Times New Roman"/>
          <w:sz w:val="24"/>
          <w:szCs w:val="24"/>
          <w:lang w:val="en-GB" w:eastAsia="en-GB"/>
        </w:rPr>
        <w:t xml:space="preserve">în perioada </w:t>
      </w:r>
      <w:r w:rsidR="00E150D3">
        <w:rPr>
          <w:rFonts w:ascii="Times New Roman" w:eastAsia="Times New Roman" w:hAnsi="Times New Roman" w:cs="Times New Roman"/>
          <w:b/>
          <w:sz w:val="24"/>
          <w:szCs w:val="24"/>
          <w:lang w:val="en-GB" w:eastAsia="en-GB"/>
        </w:rPr>
        <w:t>09.01-28.01.2025</w:t>
      </w:r>
      <w:r w:rsidRPr="002655FE">
        <w:rPr>
          <w:rFonts w:ascii="Times New Roman" w:eastAsia="Times New Roman" w:hAnsi="Times New Roman" w:cs="Times New Roman"/>
          <w:b/>
          <w:sz w:val="24"/>
          <w:szCs w:val="24"/>
          <w:lang w:val="en-GB" w:eastAsia="en-GB"/>
        </w:rPr>
        <w:t>, ora 1</w:t>
      </w:r>
      <w:r w:rsidR="00F52359" w:rsidRPr="002655FE">
        <w:rPr>
          <w:rFonts w:ascii="Times New Roman" w:eastAsia="Times New Roman" w:hAnsi="Times New Roman" w:cs="Times New Roman"/>
          <w:b/>
          <w:sz w:val="24"/>
          <w:szCs w:val="24"/>
          <w:lang w:val="en-GB" w:eastAsia="en-GB"/>
        </w:rPr>
        <w:t>6</w:t>
      </w:r>
      <w:r w:rsidRPr="002655FE">
        <w:rPr>
          <w:rFonts w:ascii="Times New Roman" w:eastAsia="Times New Roman" w:hAnsi="Times New Roman" w:cs="Times New Roman"/>
          <w:b/>
          <w:sz w:val="24"/>
          <w:szCs w:val="24"/>
          <w:lang w:val="en-GB" w:eastAsia="en-GB"/>
        </w:rPr>
        <w:t>.</w:t>
      </w:r>
      <w:r w:rsidR="002655FE" w:rsidRPr="002655FE">
        <w:rPr>
          <w:rFonts w:ascii="Times New Roman" w:eastAsia="Times New Roman" w:hAnsi="Times New Roman" w:cs="Times New Roman"/>
          <w:b/>
          <w:sz w:val="24"/>
          <w:szCs w:val="24"/>
          <w:lang w:val="en-GB" w:eastAsia="en-GB"/>
        </w:rPr>
        <w:t>3</w:t>
      </w:r>
      <w:r w:rsidRPr="002655FE">
        <w:rPr>
          <w:rFonts w:ascii="Times New Roman" w:eastAsia="Times New Roman" w:hAnsi="Times New Roman" w:cs="Times New Roman"/>
          <w:b/>
          <w:sz w:val="24"/>
          <w:szCs w:val="24"/>
          <w:lang w:val="en-GB" w:eastAsia="en-GB"/>
        </w:rPr>
        <w:t xml:space="preserve">0. </w:t>
      </w:r>
      <w:r w:rsidRPr="002655FE">
        <w:rPr>
          <w:rFonts w:ascii="Times New Roman" w:eastAsia="Times New Roman" w:hAnsi="Times New Roman" w:cs="Times New Roman"/>
          <w:sz w:val="24"/>
          <w:szCs w:val="24"/>
          <w:lang w:val="en-GB" w:eastAsia="en-GB"/>
        </w:rPr>
        <w:t xml:space="preserve"> </w:t>
      </w:r>
    </w:p>
    <w:p w:rsidR="00E150D3" w:rsidRDefault="00E150D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p>
    <w:p w:rsidR="00E150D3" w:rsidRDefault="00E150D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p>
    <w:p w:rsidR="00E150D3" w:rsidRDefault="00E150D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p>
    <w:p w:rsidR="00E150D3" w:rsidRDefault="00E150D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p>
    <w:p w:rsidR="00E150D3" w:rsidRPr="002655FE" w:rsidRDefault="00E150D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2655FE">
        <w:rPr>
          <w:rFonts w:ascii="Times New Roman" w:eastAsia="Times New Roman" w:hAnsi="Times New Roman" w:cs="Times New Roman"/>
          <w:b/>
          <w:sz w:val="24"/>
          <w:szCs w:val="24"/>
          <w:lang w:val="ro-RO" w:eastAsia="en-GB"/>
        </w:rPr>
        <w:lastRenderedPageBreak/>
        <w:t xml:space="preserve">Pentru înscrierea la concurs candidații vor prezenta un dosar de concurs care va conține </w:t>
      </w:r>
      <w:r w:rsidRPr="001970DE">
        <w:rPr>
          <w:rFonts w:ascii="Times New Roman" w:eastAsia="Times New Roman" w:hAnsi="Times New Roman" w:cs="Times New Roman"/>
          <w:b/>
          <w:sz w:val="24"/>
          <w:szCs w:val="24"/>
          <w:lang w:val="ro-RO" w:eastAsia="en-GB"/>
        </w:rPr>
        <w:t>următoarele documente</w:t>
      </w:r>
      <w:r w:rsidRPr="001970DE">
        <w:rPr>
          <w:rFonts w:ascii="Times New Roman" w:eastAsia="Times New Roman" w:hAnsi="Times New Roman" w:cs="Times New Roman"/>
          <w:b/>
          <w:bCs/>
          <w:sz w:val="24"/>
          <w:szCs w:val="24"/>
          <w:lang w:val="en-GB" w:eastAsia="en-GB"/>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a)</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formularul de înscriere;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b)</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cărții de identitate;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c)</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copia actului doveditor emis de autoritățile competente, în cazul în care a intervenit schimbarea numelui consemnat în certificatul de naștere;</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d)</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carnetului de muncă și/sau a adeverinței eliberate de angajator pentru perioada lucrată, care să ateste vechimea în muncă și în specialitatea studiilor necesare pentru ocuparea postului deținut, potrivit prevederilor din prezentul cod, după caz;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e)</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copii ale diplomelor de studii sau echivalente, certificatelor și altor documente care atestă efectuarea unor specializări și perfecționări sau deținerea unor competențe specifice, după caz;</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f)</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g)</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cazierul judiciar</w:t>
      </w:r>
      <w:r w:rsidR="0062716F">
        <w:rPr>
          <w:rStyle w:val="slitbdy"/>
          <w:rFonts w:ascii="Times New Roman" w:hAnsi="Times New Roman" w:cs="Times New Roman"/>
          <w:color w:val="000000"/>
          <w:sz w:val="24"/>
          <w:szCs w:val="24"/>
        </w:rPr>
        <w:t xml:space="preserve"> și </w:t>
      </w:r>
      <w:r w:rsidR="0062716F" w:rsidRPr="001970DE">
        <w:rPr>
          <w:rFonts w:ascii="Times New Roman" w:eastAsia="Times New Roman" w:hAnsi="Times New Roman" w:cs="Times New Roman"/>
          <w:sz w:val="24"/>
          <w:szCs w:val="24"/>
          <w:lang w:val="ro-RO" w:eastAsia="en-GB"/>
        </w:rPr>
        <w:t>certificat de integritate comportamentala, solicitat odat</w:t>
      </w:r>
      <w:r w:rsidR="0062716F">
        <w:rPr>
          <w:rFonts w:ascii="Times New Roman" w:eastAsia="Times New Roman" w:hAnsi="Times New Roman" w:cs="Times New Roman"/>
          <w:sz w:val="24"/>
          <w:szCs w:val="24"/>
          <w:lang w:val="ro-RO" w:eastAsia="en-GB"/>
        </w:rPr>
        <w:t>ă</w:t>
      </w:r>
      <w:r w:rsidR="0062716F" w:rsidRPr="001970DE">
        <w:rPr>
          <w:rFonts w:ascii="Times New Roman" w:eastAsia="Times New Roman" w:hAnsi="Times New Roman" w:cs="Times New Roman"/>
          <w:sz w:val="24"/>
          <w:szCs w:val="24"/>
          <w:lang w:val="ro-RO" w:eastAsia="en-GB"/>
        </w:rPr>
        <w:t xml:space="preserve"> cu cazierul judiciar</w:t>
      </w:r>
      <w:r w:rsidRPr="00793FE1">
        <w:rPr>
          <w:rStyle w:val="slitbdy"/>
          <w:rFonts w:ascii="Times New Roman" w:hAnsi="Times New Roman" w:cs="Times New Roman"/>
          <w:color w:val="000000"/>
          <w:sz w:val="24"/>
          <w:szCs w:val="24"/>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h)</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rsidR="00793FE1" w:rsidRPr="00793FE1" w:rsidRDefault="00793FE1"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793FE1">
        <w:rPr>
          <w:rStyle w:val="slitttl"/>
          <w:rFonts w:ascii="Times New Roman" w:hAnsi="Times New Roman" w:cs="Times New Roman"/>
          <w:color w:val="000000"/>
          <w:sz w:val="24"/>
          <w:szCs w:val="24"/>
        </w:rPr>
        <w:t>i)</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privind faptul că, în ultimii 3 ani, persoana nu a fost destituită sau nu i-a încetat contractul individual de muncă pentru motive disciplinare.</w:t>
      </w:r>
    </w:p>
    <w:p w:rsidR="0062716F"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p>
    <w:p w:rsidR="0062716F" w:rsidRPr="0062716F" w:rsidRDefault="0062716F" w:rsidP="004F59A7">
      <w:pPr>
        <w:suppressAutoHyphens/>
        <w:spacing w:after="0" w:line="240" w:lineRule="auto"/>
        <w:ind w:firstLine="720"/>
        <w:jc w:val="both"/>
        <w:rPr>
          <w:rFonts w:ascii="Times New Roman" w:eastAsia="Times New Roman" w:hAnsi="Times New Roman" w:cs="Times New Roman"/>
          <w:b/>
          <w:sz w:val="24"/>
          <w:szCs w:val="24"/>
          <w:u w:val="single"/>
          <w:lang w:val="ro-RO" w:eastAsia="en-GB"/>
        </w:rPr>
      </w:pPr>
      <w:r>
        <w:rPr>
          <w:rStyle w:val="salnbdy"/>
          <w:rFonts w:ascii="Times New Roman" w:hAnsi="Times New Roman" w:cs="Times New Roman"/>
          <w:color w:val="000000"/>
          <w:sz w:val="24"/>
          <w:szCs w:val="24"/>
        </w:rPr>
        <w:t xml:space="preserve">Documentul prevăzut la </w:t>
      </w:r>
      <w:r w:rsidRPr="0062716F">
        <w:rPr>
          <w:rStyle w:val="slgi"/>
          <w:rFonts w:ascii="Times New Roman" w:hAnsi="Times New Roman" w:cs="Times New Roman"/>
          <w:color w:val="000000"/>
          <w:sz w:val="24"/>
          <w:szCs w:val="24"/>
        </w:rPr>
        <w:t>lit. g)</w:t>
      </w:r>
      <w:r w:rsidRPr="0062716F">
        <w:rPr>
          <w:rStyle w:val="salnbdy"/>
          <w:rFonts w:ascii="Times New Roman" w:hAnsi="Times New Roman" w:cs="Times New Roman"/>
          <w:color w:val="000000"/>
          <w:sz w:val="24"/>
          <w:szCs w:val="24"/>
        </w:rPr>
        <w:t xml:space="preserve"> poate fi înlocuit cu o declarație pe propria răspundere prin completarea rubricii corespunzătoare din formularul de înscriere. În acest caz, candidatul declarat admis la proba de verificare a eligibilității și care nu a solicitat expres la înscrierea la concurs preluarea informațiilor direct de la autoritatea sau instituția publică competentă are obligația să completeze dosarul de concurs pe tot parcursul desfășurării etapei de selecție, dar nu mai târziu de data și ora organizării interviului, sub sancțiunea neemiterii actului administrativ de numire în funcția publică.</w:t>
      </w:r>
      <w:r w:rsidRPr="0062716F">
        <w:rPr>
          <w:rFonts w:ascii="Times New Roman" w:eastAsia="Times New Roman" w:hAnsi="Times New Roman" w:cs="Times New Roman"/>
          <w:b/>
          <w:sz w:val="24"/>
          <w:szCs w:val="24"/>
          <w:u w:val="single"/>
          <w:lang w:val="ro-RO" w:eastAsia="en-GB"/>
        </w:rPr>
        <w:t xml:space="preserve"> </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E150D3">
        <w:rPr>
          <w:rFonts w:ascii="Times New Roman" w:eastAsia="Times New Roman" w:hAnsi="Times New Roman" w:cs="Times New Roman"/>
          <w:b/>
          <w:sz w:val="24"/>
          <w:szCs w:val="24"/>
          <w:u w:val="single"/>
          <w:lang w:val="ro-RO" w:eastAsia="en-GB"/>
        </w:rPr>
        <w:t>Mănăilă Alina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3781C"/>
    <w:multiLevelType w:val="hybridMultilevel"/>
    <w:tmpl w:val="5D54F10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4F6520"/>
    <w:multiLevelType w:val="hybridMultilevel"/>
    <w:tmpl w:val="6EF2A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F087E50"/>
    <w:multiLevelType w:val="hybridMultilevel"/>
    <w:tmpl w:val="4016EFB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126A4"/>
    <w:multiLevelType w:val="hybridMultilevel"/>
    <w:tmpl w:val="7E0E6CEA"/>
    <w:lvl w:ilvl="0" w:tplc="0EE4C72C">
      <w:start w:val="6"/>
      <w:numFmt w:val="bullet"/>
      <w:lvlText w:val="-"/>
      <w:lvlJc w:val="left"/>
      <w:pPr>
        <w:ind w:left="1080" w:hanging="360"/>
      </w:pPr>
      <w:rPr>
        <w:rFonts w:ascii="Garamond" w:eastAsiaTheme="minorHAnsi" w:hAnsi="Garamond"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1">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D12311"/>
    <w:multiLevelType w:val="hybridMultilevel"/>
    <w:tmpl w:val="005892D0"/>
    <w:lvl w:ilvl="0" w:tplc="813EBCD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2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1"/>
  </w:num>
  <w:num w:numId="14">
    <w:abstractNumId w:val="14"/>
  </w:num>
  <w:num w:numId="15">
    <w:abstractNumId w:val="21"/>
  </w:num>
  <w:num w:numId="16">
    <w:abstractNumId w:val="34"/>
  </w:num>
  <w:num w:numId="17">
    <w:abstractNumId w:val="9"/>
  </w:num>
  <w:num w:numId="18">
    <w:abstractNumId w:val="27"/>
  </w:num>
  <w:num w:numId="19">
    <w:abstractNumId w:val="17"/>
  </w:num>
  <w:num w:numId="20">
    <w:abstractNumId w:val="23"/>
  </w:num>
  <w:num w:numId="21">
    <w:abstractNumId w:val="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7"/>
  </w:num>
  <w:num w:numId="25">
    <w:abstractNumId w:val="8"/>
  </w:num>
  <w:num w:numId="26">
    <w:abstractNumId w:val="1"/>
  </w:num>
  <w:num w:numId="27">
    <w:abstractNumId w:val="35"/>
  </w:num>
  <w:num w:numId="28">
    <w:abstractNumId w:val="6"/>
  </w:num>
  <w:num w:numId="29">
    <w:abstractNumId w:val="33"/>
  </w:num>
  <w:num w:numId="30">
    <w:abstractNumId w:val="2"/>
  </w:num>
  <w:num w:numId="31">
    <w:abstractNumId w:val="26"/>
  </w:num>
  <w:num w:numId="32">
    <w:abstractNumId w:val="36"/>
  </w:num>
  <w:num w:numId="33">
    <w:abstractNumId w:val="19"/>
  </w:num>
  <w:num w:numId="34">
    <w:abstractNumId w:val="4"/>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2"/>
  </w:num>
  <w:num w:numId="38">
    <w:abstractNumId w:val="15"/>
  </w:num>
  <w:num w:numId="39">
    <w:abstractNumId w:val="16"/>
  </w:num>
  <w:num w:numId="40">
    <w:abstractNumId w:val="3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62174"/>
    <w:rsid w:val="0008504D"/>
    <w:rsid w:val="000B5A1D"/>
    <w:rsid w:val="000C22D1"/>
    <w:rsid w:val="00117D92"/>
    <w:rsid w:val="00130938"/>
    <w:rsid w:val="0013182E"/>
    <w:rsid w:val="001402B7"/>
    <w:rsid w:val="00146D39"/>
    <w:rsid w:val="0015179E"/>
    <w:rsid w:val="00152847"/>
    <w:rsid w:val="001970DE"/>
    <w:rsid w:val="001977CD"/>
    <w:rsid w:val="001B67A5"/>
    <w:rsid w:val="001C7AB7"/>
    <w:rsid w:val="001E63A9"/>
    <w:rsid w:val="00227DA8"/>
    <w:rsid w:val="00253C2A"/>
    <w:rsid w:val="002655FE"/>
    <w:rsid w:val="002A5C01"/>
    <w:rsid w:val="002D19EF"/>
    <w:rsid w:val="002F03F7"/>
    <w:rsid w:val="00305FAB"/>
    <w:rsid w:val="00332BCE"/>
    <w:rsid w:val="00352E80"/>
    <w:rsid w:val="00355548"/>
    <w:rsid w:val="00367D07"/>
    <w:rsid w:val="003901BC"/>
    <w:rsid w:val="003B6132"/>
    <w:rsid w:val="0041104D"/>
    <w:rsid w:val="00412195"/>
    <w:rsid w:val="00445B66"/>
    <w:rsid w:val="00466C3E"/>
    <w:rsid w:val="0049442B"/>
    <w:rsid w:val="004A2A58"/>
    <w:rsid w:val="004E6D24"/>
    <w:rsid w:val="004F0ECE"/>
    <w:rsid w:val="004F59A7"/>
    <w:rsid w:val="005053BC"/>
    <w:rsid w:val="00514CC9"/>
    <w:rsid w:val="00517CE0"/>
    <w:rsid w:val="00520065"/>
    <w:rsid w:val="00522B63"/>
    <w:rsid w:val="0058124D"/>
    <w:rsid w:val="005A2569"/>
    <w:rsid w:val="005A4DAC"/>
    <w:rsid w:val="005B699A"/>
    <w:rsid w:val="005F0766"/>
    <w:rsid w:val="005F5D3E"/>
    <w:rsid w:val="005F7393"/>
    <w:rsid w:val="006129DF"/>
    <w:rsid w:val="006216BB"/>
    <w:rsid w:val="0062716F"/>
    <w:rsid w:val="0065671D"/>
    <w:rsid w:val="006744D5"/>
    <w:rsid w:val="006B26BF"/>
    <w:rsid w:val="006B4202"/>
    <w:rsid w:val="006D2B14"/>
    <w:rsid w:val="006F1126"/>
    <w:rsid w:val="006F5B4A"/>
    <w:rsid w:val="006F7054"/>
    <w:rsid w:val="00704D63"/>
    <w:rsid w:val="007134D2"/>
    <w:rsid w:val="007233D5"/>
    <w:rsid w:val="00724E26"/>
    <w:rsid w:val="00756002"/>
    <w:rsid w:val="0076669B"/>
    <w:rsid w:val="00793FE1"/>
    <w:rsid w:val="007A1500"/>
    <w:rsid w:val="007B607C"/>
    <w:rsid w:val="007D0206"/>
    <w:rsid w:val="008440C6"/>
    <w:rsid w:val="00884787"/>
    <w:rsid w:val="008B347C"/>
    <w:rsid w:val="008B57C2"/>
    <w:rsid w:val="008D11E2"/>
    <w:rsid w:val="009131BC"/>
    <w:rsid w:val="0095096C"/>
    <w:rsid w:val="009C0558"/>
    <w:rsid w:val="009D08BF"/>
    <w:rsid w:val="009D72FD"/>
    <w:rsid w:val="009F7EA4"/>
    <w:rsid w:val="00A11B4C"/>
    <w:rsid w:val="00A21739"/>
    <w:rsid w:val="00A378D2"/>
    <w:rsid w:val="00A565D9"/>
    <w:rsid w:val="00A742FF"/>
    <w:rsid w:val="00A840E4"/>
    <w:rsid w:val="00AF7759"/>
    <w:rsid w:val="00B00114"/>
    <w:rsid w:val="00B06773"/>
    <w:rsid w:val="00B1322B"/>
    <w:rsid w:val="00B26AC1"/>
    <w:rsid w:val="00B43164"/>
    <w:rsid w:val="00BB00D1"/>
    <w:rsid w:val="00BB273D"/>
    <w:rsid w:val="00BE7C6F"/>
    <w:rsid w:val="00C16AA1"/>
    <w:rsid w:val="00C40AA7"/>
    <w:rsid w:val="00C52DA3"/>
    <w:rsid w:val="00C57714"/>
    <w:rsid w:val="00CA4AFA"/>
    <w:rsid w:val="00CA5FC5"/>
    <w:rsid w:val="00CD2A8D"/>
    <w:rsid w:val="00CD53F4"/>
    <w:rsid w:val="00CE35DF"/>
    <w:rsid w:val="00D04B85"/>
    <w:rsid w:val="00D157B4"/>
    <w:rsid w:val="00D25D37"/>
    <w:rsid w:val="00D52A9A"/>
    <w:rsid w:val="00D64BEB"/>
    <w:rsid w:val="00D74238"/>
    <w:rsid w:val="00DA6AE0"/>
    <w:rsid w:val="00DB46EE"/>
    <w:rsid w:val="00DB7D3D"/>
    <w:rsid w:val="00DC4A1A"/>
    <w:rsid w:val="00DD7E6F"/>
    <w:rsid w:val="00E03B85"/>
    <w:rsid w:val="00E044DD"/>
    <w:rsid w:val="00E1364B"/>
    <w:rsid w:val="00E150D3"/>
    <w:rsid w:val="00E20701"/>
    <w:rsid w:val="00E33544"/>
    <w:rsid w:val="00E4451F"/>
    <w:rsid w:val="00EB73DC"/>
    <w:rsid w:val="00EC40B2"/>
    <w:rsid w:val="00EE4BFC"/>
    <w:rsid w:val="00F0446D"/>
    <w:rsid w:val="00F16699"/>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character" w:styleId="SubtleReference">
    <w:name w:val="Subtle Reference"/>
    <w:basedOn w:val="DefaultParagraphFont"/>
    <w:uiPriority w:val="31"/>
    <w:qFormat/>
    <w:rsid w:val="008B347C"/>
    <w:rPr>
      <w:smallCaps/>
      <w:color w:val="C0504D" w:themeColor="accent2"/>
      <w:u w:val="single"/>
    </w:rPr>
  </w:style>
  <w:style w:type="character" w:styleId="IntenseReference">
    <w:name w:val="Intense Reference"/>
    <w:basedOn w:val="DefaultParagraphFont"/>
    <w:uiPriority w:val="32"/>
    <w:qFormat/>
    <w:rsid w:val="008B347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character" w:styleId="SubtleReference">
    <w:name w:val="Subtle Reference"/>
    <w:basedOn w:val="DefaultParagraphFont"/>
    <w:uiPriority w:val="31"/>
    <w:qFormat/>
    <w:rsid w:val="008B347C"/>
    <w:rPr>
      <w:smallCaps/>
      <w:color w:val="C0504D" w:themeColor="accent2"/>
      <w:u w:val="single"/>
    </w:rPr>
  </w:style>
  <w:style w:type="character" w:styleId="IntenseReference">
    <w:name w:val="Intense Reference"/>
    <w:basedOn w:val="DefaultParagraphFont"/>
    <w:uiPriority w:val="32"/>
    <w:qFormat/>
    <w:rsid w:val="008B347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42">
      <w:bodyDiv w:val="1"/>
      <w:marLeft w:val="0"/>
      <w:marRight w:val="0"/>
      <w:marTop w:val="0"/>
      <w:marBottom w:val="0"/>
      <w:divBdr>
        <w:top w:val="none" w:sz="0" w:space="0" w:color="auto"/>
        <w:left w:val="none" w:sz="0" w:space="0" w:color="auto"/>
        <w:bottom w:val="none" w:sz="0" w:space="0" w:color="auto"/>
        <w:right w:val="none" w:sz="0" w:space="0" w:color="auto"/>
      </w:divBdr>
    </w:div>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4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694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9480" TargetMode="External"/><Relationship Id="rId11" Type="http://schemas.openxmlformats.org/officeDocument/2006/relationships/hyperlink" Target="https://legislatie.just.ro/Public/DetaliiDocumentAfis/269480"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69480" TargetMode="External"/><Relationship Id="rId4" Type="http://schemas.openxmlformats.org/officeDocument/2006/relationships/settings" Target="settings.xml"/><Relationship Id="rId9" Type="http://schemas.openxmlformats.org/officeDocument/2006/relationships/hyperlink" Target="https://legislatie.just.ro/Public/DetaliiDocumentAfis/269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3</cp:revision>
  <cp:lastPrinted>2024-12-17T10:01:00Z</cp:lastPrinted>
  <dcterms:created xsi:type="dcterms:W3CDTF">2025-01-09T08:18:00Z</dcterms:created>
  <dcterms:modified xsi:type="dcterms:W3CDTF">2025-01-28T08:51:00Z</dcterms:modified>
</cp:coreProperties>
</file>